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>2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3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11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>.20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23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>г №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 xml:space="preserve"> 45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after="0" w:line="240" w:lineRule="auto"/>
        <w:jc w:val="center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Об утверждении Плана мероприятий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center"/>
        <w:textAlignment w:val="auto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по обеспечению транспортной безопасности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center"/>
        <w:textAlignment w:val="auto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автомобильных дорог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на территории МО «Нагалык» на 2023-2027 годы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420" w:beforeAutospacing="0" w:after="420" w:afterAutospacing="0" w:line="15" w:lineRule="atLeast"/>
        <w:ind w:left="0" w:right="0" w:firstLine="0"/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соответствии с Федеральным законом «Об общих принципах </w:t>
      </w:r>
      <w:r>
        <w:rPr>
          <w:rFonts w:hint="default" w:ascii="Arial" w:hAnsi="Arial" w:eastAsia="Helvetica" w:cs="Arial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Arial" w:hAnsi="Arial" w:eastAsia="Helvetica" w:cs="Arial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"https://pandia.ru/text/category/organi_mestnogo_samoupravleniya/" \o "Органы местного самоуправления" </w:instrText>
      </w:r>
      <w:r>
        <w:rPr>
          <w:rFonts w:hint="default" w:ascii="Arial" w:hAnsi="Arial" w:eastAsia="Helvetica" w:cs="Arial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eastAsia="Helvetica" w:cs="Arial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организации местного самоуправления</w:t>
      </w:r>
      <w:r>
        <w:rPr>
          <w:rFonts w:hint="default" w:ascii="Arial" w:hAnsi="Arial" w:eastAsia="Helvetica" w:cs="Arial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в Российской Федерации» и о внесении изменений в отдельные законодательные акты Российской Федерации», Федерального закона «Об автомобильных дорогах и дорожной деятельности и о внесении изменений в отдельные законодательные акты Российской Федерации», Федерального закона -ФЗ «О транспортной безопасности», </w:t>
      </w: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Устава МО «Нагалык»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420" w:beforeAutospacing="0" w:after="420" w:afterAutospacing="0" w:line="15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ПОСТАНОВЛЯЕТ: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420" w:beforeAutospacing="0" w:after="420" w:afterAutospacing="0" w:line="15" w:lineRule="atLeast"/>
        <w:ind w:left="0" w:right="0" w:firstLine="0"/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У</w:t>
      </w: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 xml:space="preserve">твердить прилагаемый План мероприятий по обеспечению транспортной безопасности автомобильных дорог </w:t>
      </w: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на территории МО «Нагалык» на 2023-2027 годы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420" w:beforeAutospacing="0" w:after="420" w:afterAutospacing="0" w:line="15" w:lineRule="atLeast"/>
        <w:ind w:left="0" w:leftChars="0" w:right="0" w:firstLine="0" w:firstLineChars="0"/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Опубликовать настоящее постановление на сайте МО «Нагалык»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420" w:beforeAutospacing="0" w:after="420" w:afterAutospacing="0" w:line="15" w:lineRule="atLeast"/>
        <w:ind w:left="0" w:leftChars="0" w:right="0" w:rightChars="0" w:firstLine="0" w:firstLineChars="0"/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Контроль за исполнением настоящего постановления оставляю за собой.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420" w:beforeAutospacing="0" w:after="420" w:afterAutospacing="0" w:line="15" w:lineRule="atLeast"/>
        <w:ind w:leftChars="0" w:right="0" w:rightChars="0"/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420" w:beforeAutospacing="0" w:after="420" w:afterAutospacing="0" w:line="15" w:lineRule="atLeast"/>
        <w:ind w:left="0" w:right="0" w:firstLine="0"/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Глава Администрации</w:t>
      </w:r>
      <w:r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МО «Нагалык»                            ЕмнуевГ.Г.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420" w:beforeAutospacing="0" w:after="420" w:afterAutospacing="0" w:line="15" w:lineRule="atLeast"/>
        <w:ind w:left="0" w:right="0" w:firstLine="0"/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420" w:beforeAutospacing="0" w:after="420" w:afterAutospacing="0" w:line="15" w:lineRule="atLeast"/>
        <w:ind w:left="0" w:right="0" w:firstLine="0"/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right"/>
        <w:textAlignment w:val="auto"/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Приложение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right"/>
        <w:textAlignment w:val="auto"/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к Постановлению Администрации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right"/>
        <w:textAlignment w:val="auto"/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МО «Нагалык»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 xml:space="preserve">от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right"/>
        <w:textAlignment w:val="auto"/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lang w:val="ru-RU"/>
        </w:rPr>
      </w:pP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3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.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11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.20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23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 xml:space="preserve"> г. №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 xml:space="preserve"> 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4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ru-RU"/>
        </w:rPr>
        <w:t>5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center"/>
        <w:textAlignment w:val="auto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center"/>
        <w:textAlignment w:val="auto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ПЛАН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center"/>
        <w:textAlignment w:val="auto"/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мероприятий по обеспечению транспортной безопасности автомобильных дорог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на территории МО «Нагалык»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 20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23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-20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27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годы</w:t>
      </w:r>
    </w:p>
    <w:tbl>
      <w:tblPr>
        <w:tblStyle w:val="3"/>
        <w:tblW w:w="98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2512"/>
        <w:gridCol w:w="1233"/>
        <w:gridCol w:w="1674"/>
        <w:gridCol w:w="24"/>
        <w:gridCol w:w="1860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79" w:type="dxa"/>
          <w:trHeight w:val="879" w:hRule="atLeast"/>
        </w:trPr>
        <w:tc>
          <w:tcPr>
            <w:tcW w:w="484" w:type="dxa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Мероприятия</w:t>
            </w:r>
          </w:p>
        </w:tc>
        <w:tc>
          <w:tcPr>
            <w:tcW w:w="1233" w:type="dxa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Срок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исполнения</w:t>
            </w:r>
          </w:p>
        </w:tc>
        <w:tc>
          <w:tcPr>
            <w:tcW w:w="35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auto" w:sz="4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Объем финансирования, тыс. руб.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Исполнители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79" w:type="dxa"/>
          <w:trHeight w:val="428" w:hRule="atLeast"/>
        </w:trPr>
        <w:tc>
          <w:tcPr>
            <w:tcW w:w="484" w:type="dxa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иииии</w:t>
            </w:r>
          </w:p>
        </w:tc>
        <w:tc>
          <w:tcPr>
            <w:tcW w:w="2512" w:type="dxa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DDDDDD" w:sz="6" w:space="0"/>
              <w:bottom w:val="single" w:color="DDDDDD" w:sz="6" w:space="0"/>
              <w:right w:val="single" w:color="auto" w:sz="4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1 год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5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исполнители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Информирование населения по вопросам обеспечения безопасности населения на транспорте сельского поселения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 проведение разъяснительной работы на собраниях граждан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 проведение тематических 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instrText xml:space="preserve"> HYPERLINK "https://pandia.ru/text/category/klassnij_chas/" \o "Классный час" </w:instrTex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t>классных часов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в школе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В течение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года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«Нагалык»,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МБОУ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 xml:space="preserve">Нагалыкская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СОШ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Постоянно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Оснащение стендов и уголков по информированию безопасности населения на транспорте сельского поселения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Ежегодно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Постоянно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 w:eastAsia="zh-CN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УУП ОП № 1 (Дислокация с. Баяндай)Административный участок № 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Проведение работы по профессиональной подготовке, обучению и аттестации специалистов и должностных лиц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Ежегодно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cs="Courier New"/>
                <w:kern w:val="0"/>
                <w:sz w:val="21"/>
                <w:szCs w:val="21"/>
                <w:lang w:val="ru-RU" w:eastAsia="zh-CN" w:bidi="ar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«Нагалык», руководители учреждений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 Освещение улиц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 Эксплуатация и ремонт сетей уличного освещения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Постоянно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10,0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3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,0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50,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15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,0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Обеспечение функционирования инженерно - технических средств и систем обеспечения транспортной безопасности на объектах 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instrText xml:space="preserve"> HYPERLINK "https://pandia.ru/text/category/dorozhnoe_hozyajstvo/" \o "Дорожное хозяйство" </w:instrTex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t>дорожного хозяйства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216FDB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Постоянно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Проведение оценки уязвимости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инженерно-технических сооружений и коммуникаций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Постоянно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9.</w:t>
            </w:r>
          </w:p>
        </w:tc>
        <w:tc>
          <w:tcPr>
            <w:tcW w:w="2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Содержание проезжей части дорог сельского поселения в безаварийном состоянии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(в зимнее время - очистка от снега, в летнее время - ремонт дорожного покрытия)</w:t>
            </w:r>
          </w:p>
        </w:tc>
        <w:tc>
          <w:tcPr>
            <w:tcW w:w="12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Постоянно</w:t>
            </w:r>
          </w:p>
        </w:tc>
        <w:tc>
          <w:tcPr>
            <w:tcW w:w="16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  <w:lang w:val="ru-RU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5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,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ourier New" w:hAnsi="Courier New" w:cs="Courier New"/>
                <w:sz w:val="21"/>
                <w:szCs w:val="21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25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,0</w:t>
            </w:r>
          </w:p>
        </w:tc>
        <w:tc>
          <w:tcPr>
            <w:tcW w:w="20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default" w:ascii="Courier New" w:hAnsi="Courier New" w:cs="Courier New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Администрация </w:t>
            </w:r>
            <w:r>
              <w:rPr>
                <w:rFonts w:hint="default" w:ascii="Courier New" w:hAnsi="Courier New" w:eastAsia="Helvetica" w:cs="Courier New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ru-RU"/>
              </w:rPr>
              <w:t>МО «Нагалык»</w:t>
            </w:r>
          </w:p>
        </w:tc>
      </w:tr>
    </w:tbl>
    <w:p>
      <w:pPr>
        <w:rPr>
          <w:rFonts w:hint="default" w:ascii="Courier New" w:hAnsi="Courier New" w:cs="Courier New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A9745"/>
    <w:multiLevelType w:val="singleLevel"/>
    <w:tmpl w:val="7FAA9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92E50"/>
    <w:rsid w:val="6E3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2023-11-27T02:52:00Z</dcterms:created>
  <dc:creator>User</dc:creator>
  <cp:lastModifiedBy>User</cp:lastModifiedBy>
  <cp:lastPrinted>2023-11-27T04:32:08Z</cp:lastPrinted>
  <dcterms:modified xsi:type="dcterms:W3CDTF">2023-11-27T04:33:41Z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75B12A37A08C4E6699552D11385701B9_12</vt:lpwstr>
  </property>
</Properties>
</file>